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sz w:val="18"/>
        </w:rPr>
      </w:pPr>
    </w:p>
    <w:p>
      <w:pPr>
        <w:pStyle w:val="Heading1"/>
        <w:spacing w:before="89"/>
      </w:pPr>
      <w:bookmarkStart w:name="_bookmark0" w:id="1"/>
      <w:bookmarkEnd w:id="1"/>
      <w:r>
        <w:rPr/>
      </w:r>
      <w:r>
        <w:rPr/>
        <w:t>Form 7</w:t>
      </w:r>
    </w:p>
    <w:p>
      <w:pPr>
        <w:spacing w:line="249" w:lineRule="auto" w:before="43"/>
        <w:ind w:left="495" w:right="492" w:firstLine="0"/>
        <w:jc w:val="center"/>
        <w:rPr>
          <w:sz w:val="25"/>
        </w:rPr>
      </w:pPr>
      <w:r>
        <w:rPr>
          <w:sz w:val="25"/>
        </w:rPr>
        <w:t>Notice of appeal to Environment Court against decision on proposed policy statement or plan or change or variation</w:t>
      </w:r>
    </w:p>
    <w:p>
      <w:pPr>
        <w:spacing w:before="64"/>
        <w:ind w:left="492" w:right="492" w:firstLine="0"/>
        <w:jc w:val="center"/>
        <w:rPr>
          <w:i/>
          <w:sz w:val="20"/>
        </w:rPr>
      </w:pPr>
      <w:hyperlink r:id="rId9">
        <w:r>
          <w:rPr>
            <w:i/>
            <w:sz w:val="20"/>
          </w:rPr>
          <w:t>Clause 14(1)</w:t>
        </w:r>
      </w:hyperlink>
      <w:r>
        <w:rPr>
          <w:i/>
          <w:sz w:val="20"/>
        </w:rPr>
        <w:t> of Schedule 1, Resource Management Act 1991</w:t>
      </w:r>
    </w:p>
    <w:p>
      <w:pPr>
        <w:pStyle w:val="BodyText"/>
        <w:tabs>
          <w:tab w:pos="904" w:val="left" w:leader="none"/>
        </w:tabs>
        <w:spacing w:before="69"/>
      </w:pPr>
      <w:r>
        <w:rPr>
          <w:b/>
          <w:spacing w:val="-11"/>
        </w:rPr>
        <w:t>To</w:t>
        <w:tab/>
      </w:r>
      <w:r>
        <w:rPr/>
        <w:t>the Registrar</w:t>
      </w:r>
    </w:p>
    <w:p>
      <w:pPr>
        <w:pStyle w:val="BodyText"/>
        <w:spacing w:before="91"/>
        <w:ind w:left="904"/>
      </w:pPr>
      <w:r>
        <w:rPr/>
        <w:t>Environment Court</w:t>
      </w:r>
    </w:p>
    <w:p>
      <w:pPr>
        <w:pStyle w:val="BodyText"/>
        <w:spacing w:before="92"/>
        <w:ind w:left="904"/>
      </w:pPr>
      <w:r>
        <w:rPr/>
        <w:t>Auckland, Wellington, and Christchurch</w:t>
      </w:r>
    </w:p>
    <w:p>
      <w:pPr>
        <w:spacing w:line="249" w:lineRule="auto" w:before="91"/>
        <w:ind w:left="304" w:right="45" w:hanging="1"/>
        <w:jc w:val="left"/>
        <w:rPr>
          <w:sz w:val="23"/>
        </w:rPr>
      </w:pPr>
      <w:r>
        <w:rPr>
          <w:sz w:val="23"/>
        </w:rPr>
        <w:t>I, [</w:t>
      </w:r>
      <w:r>
        <w:rPr>
          <w:i/>
          <w:sz w:val="23"/>
        </w:rPr>
        <w:t>full name</w:t>
      </w:r>
      <w:r>
        <w:rPr>
          <w:sz w:val="23"/>
        </w:rPr>
        <w:t>], appeal against a decision (</w:t>
      </w:r>
      <w:r>
        <w:rPr>
          <w:i/>
          <w:sz w:val="23"/>
        </w:rPr>
        <w:t>or </w:t>
      </w:r>
      <w:r>
        <w:rPr>
          <w:sz w:val="23"/>
        </w:rPr>
        <w:t>part of a decision) of [</w:t>
      </w:r>
      <w:r>
        <w:rPr>
          <w:i/>
          <w:sz w:val="23"/>
        </w:rPr>
        <w:t>name of local </w:t>
      </w:r>
      <w:r>
        <w:rPr>
          <w:i/>
          <w:sz w:val="23"/>
        </w:rPr>
        <w:t>authority</w:t>
      </w:r>
      <w:r>
        <w:rPr>
          <w:sz w:val="23"/>
        </w:rPr>
        <w:t>] on the following policy statement (</w:t>
      </w:r>
      <w:r>
        <w:rPr>
          <w:i/>
          <w:sz w:val="23"/>
        </w:rPr>
        <w:t>or </w:t>
      </w:r>
      <w:r>
        <w:rPr>
          <w:sz w:val="23"/>
        </w:rPr>
        <w:t>plan </w:t>
      </w:r>
      <w:r>
        <w:rPr>
          <w:i/>
          <w:sz w:val="23"/>
        </w:rPr>
        <w:t>or </w:t>
      </w:r>
      <w:r>
        <w:rPr>
          <w:sz w:val="23"/>
        </w:rPr>
        <w:t>change </w:t>
      </w:r>
      <w:r>
        <w:rPr>
          <w:i/>
          <w:sz w:val="23"/>
        </w:rPr>
        <w:t>or </w:t>
      </w:r>
      <w:r>
        <w:rPr>
          <w:sz w:val="23"/>
        </w:rPr>
        <w:t>variation):</w:t>
      </w:r>
    </w:p>
    <w:p>
      <w:pPr>
        <w:spacing w:line="249" w:lineRule="auto" w:before="82"/>
        <w:ind w:left="304" w:right="0" w:firstLine="0"/>
        <w:jc w:val="left"/>
        <w:rPr>
          <w:sz w:val="23"/>
        </w:rPr>
      </w:pPr>
      <w:r>
        <w:rPr>
          <w:sz w:val="23"/>
        </w:rPr>
        <w:t>[</w:t>
      </w:r>
      <w:r>
        <w:rPr>
          <w:i/>
          <w:sz w:val="23"/>
        </w:rPr>
        <w:t>state the name of the proposed or existing policy statement or plan or change or </w:t>
      </w:r>
      <w:r>
        <w:rPr>
          <w:i/>
          <w:sz w:val="23"/>
        </w:rPr>
        <w:t>variation to which the decision relates</w:t>
      </w:r>
      <w:r>
        <w:rPr>
          <w:sz w:val="23"/>
        </w:rPr>
        <w:t>].</w:t>
      </w:r>
    </w:p>
    <w:p>
      <w:pPr>
        <w:pStyle w:val="BodyText"/>
        <w:spacing w:line="324" w:lineRule="auto" w:before="82"/>
        <w:ind w:right="1046"/>
      </w:pPr>
      <w:r>
        <w:rPr/>
        <w:t>I made a submission on that policy statement (</w:t>
      </w:r>
      <w:r>
        <w:rPr>
          <w:i/>
        </w:rPr>
        <w:t>or </w:t>
      </w:r>
      <w:r>
        <w:rPr/>
        <w:t>plan </w:t>
      </w:r>
      <w:r>
        <w:rPr>
          <w:i/>
        </w:rPr>
        <w:t>or </w:t>
      </w:r>
      <w:r>
        <w:rPr/>
        <w:t>change </w:t>
      </w:r>
      <w:r>
        <w:rPr>
          <w:i/>
        </w:rPr>
        <w:t>or </w:t>
      </w:r>
      <w:r>
        <w:rPr/>
        <w:t>variation). I am/am not* a trade competitor for the purposes of</w:t>
      </w:r>
      <w:hyperlink r:id="rId10">
        <w:r>
          <w:rPr/>
          <w:t> section 308D</w:t>
        </w:r>
      </w:hyperlink>
      <w:r>
        <w:rPr/>
        <w:t> of the Act.</w:t>
      </w:r>
    </w:p>
    <w:p>
      <w:pPr>
        <w:spacing w:line="209" w:lineRule="exact" w:before="0"/>
        <w:ind w:left="304" w:right="0" w:firstLine="0"/>
        <w:jc w:val="left"/>
        <w:rPr>
          <w:sz w:val="19"/>
        </w:rPr>
      </w:pPr>
      <w:r>
        <w:rPr>
          <w:sz w:val="19"/>
        </w:rPr>
        <w:t>*Select one.</w:t>
      </w:r>
    </w:p>
    <w:p>
      <w:pPr>
        <w:pStyle w:val="BodyText"/>
        <w:spacing w:before="139"/>
      </w:pPr>
      <w:r>
        <w:rPr/>
        <w:t>*I am/am not† directly affected by an effect of the subject of the appeal that—</w:t>
      </w:r>
    </w:p>
    <w:p>
      <w:pPr>
        <w:pStyle w:val="ListParagraph"/>
        <w:numPr>
          <w:ilvl w:val="0"/>
          <w:numId w:val="1"/>
        </w:numPr>
        <w:tabs>
          <w:tab w:pos="904" w:val="left" w:leader="none"/>
          <w:tab w:pos="905" w:val="left" w:leader="none"/>
        </w:tabs>
        <w:spacing w:line="240" w:lineRule="auto" w:before="91" w:after="0"/>
        <w:ind w:left="904" w:right="0" w:hanging="600"/>
        <w:jc w:val="left"/>
        <w:rPr>
          <w:sz w:val="23"/>
        </w:rPr>
      </w:pPr>
      <w:r>
        <w:rPr>
          <w:sz w:val="23"/>
        </w:rPr>
        <w:t>adversely affects the environment;</w:t>
      </w:r>
      <w:r>
        <w:rPr>
          <w:spacing w:val="-1"/>
          <w:sz w:val="23"/>
        </w:rPr>
        <w:t> </w:t>
      </w:r>
      <w:r>
        <w:rPr>
          <w:sz w:val="23"/>
        </w:rPr>
        <w:t>and</w:t>
      </w:r>
    </w:p>
    <w:p>
      <w:pPr>
        <w:pStyle w:val="ListParagraph"/>
        <w:numPr>
          <w:ilvl w:val="0"/>
          <w:numId w:val="1"/>
        </w:numPr>
        <w:tabs>
          <w:tab w:pos="904" w:val="left" w:leader="none"/>
          <w:tab w:pos="905" w:val="left" w:leader="none"/>
        </w:tabs>
        <w:spacing w:line="240" w:lineRule="auto" w:before="92" w:after="0"/>
        <w:ind w:left="904" w:right="0" w:hanging="600"/>
        <w:jc w:val="left"/>
        <w:rPr>
          <w:sz w:val="23"/>
        </w:rPr>
      </w:pPr>
      <w:r>
        <w:rPr>
          <w:sz w:val="23"/>
        </w:rPr>
        <w:t>does not relate to trade competition or the effects of trade</w:t>
      </w:r>
      <w:r>
        <w:rPr>
          <w:spacing w:val="-5"/>
          <w:sz w:val="23"/>
        </w:rPr>
        <w:t> </w:t>
      </w:r>
      <w:r>
        <w:rPr>
          <w:sz w:val="23"/>
        </w:rPr>
        <w:t>competition.</w:t>
      </w:r>
    </w:p>
    <w:p>
      <w:pPr>
        <w:spacing w:before="84"/>
        <w:ind w:left="304" w:right="0" w:firstLine="0"/>
        <w:jc w:val="left"/>
        <w:rPr>
          <w:sz w:val="19"/>
        </w:rPr>
      </w:pPr>
      <w:r>
        <w:rPr>
          <w:sz w:val="19"/>
        </w:rPr>
        <w:t>*Omit paragraph if you are not a trade competitor.</w:t>
      </w:r>
    </w:p>
    <w:p>
      <w:pPr>
        <w:spacing w:before="52"/>
        <w:ind w:left="304" w:right="0" w:firstLine="0"/>
        <w:jc w:val="left"/>
        <w:rPr>
          <w:sz w:val="19"/>
        </w:rPr>
      </w:pPr>
      <w:r>
        <w:rPr>
          <w:sz w:val="19"/>
        </w:rPr>
        <w:t>†Select one.</w:t>
      </w:r>
    </w:p>
    <w:p>
      <w:pPr>
        <w:pStyle w:val="BodyText"/>
        <w:spacing w:before="138"/>
      </w:pPr>
      <w:r>
        <w:rPr/>
        <w:t>I received notice of the decision on [</w:t>
      </w:r>
      <w:r>
        <w:rPr>
          <w:i/>
        </w:rPr>
        <w:t>date</w:t>
      </w:r>
      <w:r>
        <w:rPr/>
        <w:t>].</w:t>
      </w:r>
    </w:p>
    <w:p>
      <w:pPr>
        <w:spacing w:before="92"/>
        <w:ind w:left="304" w:right="0" w:firstLine="0"/>
        <w:jc w:val="left"/>
        <w:rPr>
          <w:sz w:val="23"/>
        </w:rPr>
      </w:pPr>
      <w:r>
        <w:rPr>
          <w:sz w:val="23"/>
        </w:rPr>
        <w:t>The decision was made by [</w:t>
      </w:r>
      <w:r>
        <w:rPr>
          <w:i/>
          <w:sz w:val="23"/>
        </w:rPr>
        <w:t>name of authority</w:t>
      </w:r>
      <w:r>
        <w:rPr>
          <w:sz w:val="23"/>
        </w:rPr>
        <w:t>].</w:t>
      </w:r>
    </w:p>
    <w:p>
      <w:pPr>
        <w:pStyle w:val="BodyText"/>
        <w:spacing w:line="324" w:lineRule="auto" w:before="91"/>
        <w:ind w:right="1992"/>
      </w:pPr>
      <w:r>
        <w:rPr/>
        <w:t>The decision (</w:t>
      </w:r>
      <w:r>
        <w:rPr>
          <w:i/>
        </w:rPr>
        <w:t>or </w:t>
      </w:r>
      <w:r>
        <w:rPr/>
        <w:t>part of the decision) that I am appealing against is: [</w:t>
      </w:r>
      <w:r>
        <w:rPr>
          <w:i/>
        </w:rPr>
        <w:t>state</w:t>
      </w:r>
      <w:r>
        <w:rPr/>
        <w:t>—</w:t>
      </w:r>
    </w:p>
    <w:p>
      <w:pPr>
        <w:pStyle w:val="ListParagraph"/>
        <w:numPr>
          <w:ilvl w:val="0"/>
          <w:numId w:val="2"/>
        </w:numPr>
        <w:tabs>
          <w:tab w:pos="904" w:val="left" w:leader="none"/>
          <w:tab w:pos="905" w:val="left" w:leader="none"/>
        </w:tabs>
        <w:spacing w:line="262" w:lineRule="exact" w:before="0" w:after="0"/>
        <w:ind w:left="904" w:right="0" w:hanging="600"/>
        <w:jc w:val="left"/>
        <w:rPr>
          <w:i/>
          <w:sz w:val="23"/>
        </w:rPr>
      </w:pPr>
      <w:r>
        <w:rPr>
          <w:i/>
          <w:sz w:val="23"/>
        </w:rPr>
        <w:t>a summary of the decision or part of the decision;</w:t>
      </w:r>
      <w:r>
        <w:rPr>
          <w:i/>
          <w:spacing w:val="-3"/>
          <w:sz w:val="23"/>
        </w:rPr>
        <w:t> </w:t>
      </w:r>
      <w:r>
        <w:rPr>
          <w:i/>
          <w:sz w:val="23"/>
        </w:rPr>
        <w:t>and</w:t>
      </w:r>
    </w:p>
    <w:p>
      <w:pPr>
        <w:pStyle w:val="ListParagraph"/>
        <w:numPr>
          <w:ilvl w:val="0"/>
          <w:numId w:val="2"/>
        </w:numPr>
        <w:tabs>
          <w:tab w:pos="905" w:val="left" w:leader="none"/>
        </w:tabs>
        <w:spacing w:line="249" w:lineRule="auto" w:before="92" w:after="0"/>
        <w:ind w:left="904" w:right="301" w:hanging="600"/>
        <w:jc w:val="both"/>
        <w:rPr>
          <w:sz w:val="23"/>
        </w:rPr>
      </w:pPr>
      <w:r>
        <w:rPr>
          <w:i/>
          <w:sz w:val="23"/>
        </w:rPr>
        <w:t>the specific provision or matter that the decision includes in, or excludes from, </w:t>
      </w:r>
      <w:r>
        <w:rPr>
          <w:i/>
          <w:sz w:val="23"/>
        </w:rPr>
        <w:t>the policy statement or plan or change or variation (or that the decision propo- ses to include or</w:t>
      </w:r>
      <w:r>
        <w:rPr>
          <w:i/>
          <w:spacing w:val="-2"/>
          <w:sz w:val="23"/>
        </w:rPr>
        <w:t> </w:t>
      </w:r>
      <w:r>
        <w:rPr>
          <w:i/>
          <w:sz w:val="23"/>
        </w:rPr>
        <w:t>exclude)</w:t>
      </w:r>
      <w:r>
        <w:rPr>
          <w:sz w:val="23"/>
        </w:rPr>
        <w:t>].</w:t>
      </w:r>
    </w:p>
    <w:p>
      <w:pPr>
        <w:pStyle w:val="BodyText"/>
        <w:spacing w:before="83"/>
      </w:pPr>
      <w:r>
        <w:rPr/>
        <w:t>The reasons for the appeal are as follows:</w:t>
      </w:r>
    </w:p>
    <w:p>
      <w:pPr>
        <w:spacing w:line="249" w:lineRule="auto" w:before="91"/>
        <w:ind w:left="304" w:right="0" w:hanging="1"/>
        <w:jc w:val="left"/>
        <w:rPr>
          <w:sz w:val="23"/>
        </w:rPr>
      </w:pPr>
      <w:r>
        <w:rPr>
          <w:sz w:val="23"/>
        </w:rPr>
        <w:t>[</w:t>
      </w:r>
      <w:r>
        <w:rPr>
          <w:i/>
          <w:sz w:val="23"/>
        </w:rPr>
        <w:t>set out why you are appealing against the decision or part of the decision and give </w:t>
      </w:r>
      <w:r>
        <w:rPr>
          <w:i/>
          <w:sz w:val="23"/>
        </w:rPr>
        <w:t>reasons for your views</w:t>
      </w:r>
      <w:r>
        <w:rPr>
          <w:sz w:val="23"/>
        </w:rPr>
        <w:t>].</w:t>
      </w:r>
    </w:p>
    <w:p>
      <w:pPr>
        <w:spacing w:line="324" w:lineRule="auto" w:before="82"/>
        <w:ind w:left="304" w:right="5786" w:firstLine="0"/>
        <w:jc w:val="left"/>
        <w:rPr>
          <w:sz w:val="23"/>
        </w:rPr>
      </w:pPr>
      <w:r>
        <w:rPr>
          <w:sz w:val="23"/>
        </w:rPr>
        <w:t>I seek the following relief: [</w:t>
      </w:r>
      <w:r>
        <w:rPr>
          <w:i/>
          <w:sz w:val="23"/>
        </w:rPr>
        <w:t>give precise details</w:t>
      </w:r>
      <w:r>
        <w:rPr>
          <w:sz w:val="23"/>
        </w:rPr>
        <w:t>].</w:t>
      </w:r>
    </w:p>
    <w:p>
      <w:pPr>
        <w:pStyle w:val="BodyText"/>
        <w:spacing w:line="262" w:lineRule="exact"/>
      </w:pPr>
      <w:r>
        <w:rPr/>
        <w:t>I attach the following documents* to this notice:</w:t>
      </w:r>
    </w:p>
    <w:p>
      <w:pPr>
        <w:pStyle w:val="ListParagraph"/>
        <w:numPr>
          <w:ilvl w:val="0"/>
          <w:numId w:val="3"/>
        </w:numPr>
        <w:tabs>
          <w:tab w:pos="904" w:val="left" w:leader="none"/>
          <w:tab w:pos="905" w:val="left" w:leader="none"/>
        </w:tabs>
        <w:spacing w:line="249" w:lineRule="auto" w:before="92" w:after="0"/>
        <w:ind w:left="904" w:right="303" w:hanging="600"/>
        <w:jc w:val="left"/>
        <w:rPr>
          <w:sz w:val="23"/>
        </w:rPr>
      </w:pPr>
      <w:r>
        <w:rPr>
          <w:sz w:val="23"/>
        </w:rPr>
        <w:t>a copy of my submission </w:t>
      </w:r>
      <w:r>
        <w:rPr>
          <w:i/>
          <w:sz w:val="23"/>
        </w:rPr>
        <w:t>or </w:t>
      </w:r>
      <w:r>
        <w:rPr>
          <w:sz w:val="23"/>
        </w:rPr>
        <w:t>further submission (with a copy of the submission opposed or supported by my further</w:t>
      </w:r>
      <w:r>
        <w:rPr>
          <w:spacing w:val="-4"/>
          <w:sz w:val="23"/>
        </w:rPr>
        <w:t> </w:t>
      </w:r>
      <w:r>
        <w:rPr>
          <w:sz w:val="23"/>
        </w:rPr>
        <w:t>submission):</w:t>
      </w:r>
    </w:p>
    <w:p>
      <w:pPr>
        <w:pStyle w:val="ListParagraph"/>
        <w:numPr>
          <w:ilvl w:val="0"/>
          <w:numId w:val="3"/>
        </w:numPr>
        <w:tabs>
          <w:tab w:pos="904" w:val="left" w:leader="none"/>
          <w:tab w:pos="905" w:val="left" w:leader="none"/>
        </w:tabs>
        <w:spacing w:line="240" w:lineRule="auto" w:before="82" w:after="0"/>
        <w:ind w:left="904" w:right="0" w:hanging="600"/>
        <w:jc w:val="left"/>
        <w:rPr>
          <w:sz w:val="23"/>
        </w:rPr>
      </w:pPr>
      <w:r>
        <w:rPr>
          <w:sz w:val="23"/>
        </w:rPr>
        <w:t>a copy of the relevant decision (</w:t>
      </w:r>
      <w:r>
        <w:rPr>
          <w:i/>
          <w:sz w:val="23"/>
        </w:rPr>
        <w:t>or </w:t>
      </w:r>
      <w:r>
        <w:rPr>
          <w:sz w:val="23"/>
        </w:rPr>
        <w:t>part of the</w:t>
      </w:r>
      <w:r>
        <w:rPr>
          <w:spacing w:val="-2"/>
          <w:sz w:val="23"/>
        </w:rPr>
        <w:t> </w:t>
      </w:r>
      <w:r>
        <w:rPr>
          <w:sz w:val="23"/>
        </w:rPr>
        <w:t>decision):</w:t>
      </w:r>
    </w:p>
    <w:p>
      <w:pPr>
        <w:pStyle w:val="ListParagraph"/>
        <w:numPr>
          <w:ilvl w:val="0"/>
          <w:numId w:val="3"/>
        </w:numPr>
        <w:tabs>
          <w:tab w:pos="904" w:val="left" w:leader="none"/>
          <w:tab w:pos="905" w:val="left" w:leader="none"/>
        </w:tabs>
        <w:spacing w:line="240" w:lineRule="auto" w:before="91" w:after="0"/>
        <w:ind w:left="904" w:right="0" w:hanging="600"/>
        <w:jc w:val="left"/>
        <w:rPr>
          <w:sz w:val="23"/>
        </w:rPr>
      </w:pPr>
      <w:r>
        <w:rPr>
          <w:sz w:val="23"/>
        </w:rPr>
        <w:t>any other documents necessary for an adequate understanding of the</w:t>
      </w:r>
      <w:r>
        <w:rPr>
          <w:spacing w:val="-1"/>
          <w:sz w:val="23"/>
        </w:rPr>
        <w:t> </w:t>
      </w:r>
      <w:r>
        <w:rPr>
          <w:sz w:val="23"/>
        </w:rPr>
        <w:t>appeal:</w:t>
      </w:r>
    </w:p>
    <w:p>
      <w:pPr>
        <w:spacing w:after="0" w:line="240" w:lineRule="auto"/>
        <w:jc w:val="left"/>
        <w:rPr>
          <w:sz w:val="23"/>
        </w:rPr>
        <w:sectPr>
          <w:headerReference w:type="default" r:id="rId5"/>
          <w:headerReference w:type="even" r:id="rId6"/>
          <w:footerReference w:type="default" r:id="rId7"/>
          <w:footerReference w:type="even" r:id="rId8"/>
          <w:type w:val="continuous"/>
          <w:pgSz w:w="11910" w:h="16840"/>
          <w:pgMar w:header="1841" w:footer="1265" w:top="2340" w:bottom="1460" w:left="1680" w:right="1680"/>
          <w:pgNumType w:start="55"/>
        </w:sectPr>
      </w:pPr>
    </w:p>
    <w:p>
      <w:pPr>
        <w:pStyle w:val="BodyText"/>
        <w:spacing w:before="11"/>
        <w:ind w:left="0"/>
        <w:rPr>
          <w:sz w:val="18"/>
        </w:rPr>
      </w:pPr>
    </w:p>
    <w:p>
      <w:pPr>
        <w:pStyle w:val="ListParagraph"/>
        <w:numPr>
          <w:ilvl w:val="0"/>
          <w:numId w:val="3"/>
        </w:numPr>
        <w:tabs>
          <w:tab w:pos="904" w:val="left" w:leader="none"/>
          <w:tab w:pos="905" w:val="left" w:leader="none"/>
        </w:tabs>
        <w:spacing w:line="240" w:lineRule="auto" w:before="90" w:after="0"/>
        <w:ind w:left="904" w:right="0" w:hanging="600"/>
        <w:jc w:val="left"/>
        <w:rPr>
          <w:sz w:val="23"/>
        </w:rPr>
      </w:pPr>
      <w:r>
        <w:rPr>
          <w:sz w:val="23"/>
        </w:rPr>
        <w:t>a list of names and addresses of persons to be served with a copy of this</w:t>
      </w:r>
      <w:r>
        <w:rPr>
          <w:spacing w:val="-8"/>
          <w:sz w:val="23"/>
        </w:rPr>
        <w:t> </w:t>
      </w:r>
      <w:r>
        <w:rPr>
          <w:sz w:val="23"/>
        </w:rPr>
        <w:t>notice.</w:t>
      </w:r>
    </w:p>
    <w:p>
      <w:pPr>
        <w:spacing w:line="230" w:lineRule="auto" w:before="92"/>
        <w:ind w:left="304" w:right="298" w:firstLine="0"/>
        <w:jc w:val="both"/>
        <w:rPr>
          <w:sz w:val="19"/>
        </w:rPr>
      </w:pPr>
      <w:r>
        <w:rPr>
          <w:sz w:val="19"/>
        </w:rPr>
        <w:t>*These documents constitute part of this form and, as such, must be attached to both copies of the  notice lodged with the Environment Court. The appellant does not need to attach a copy of a regional or district plan or policy statement. In addition, the appellant does not need to attach copies of the submis- sion and decision to the copies of the notice served on other persons if the copy served lists these docu- ments and states that copies may be obtained, on request, from the</w:t>
      </w:r>
      <w:r>
        <w:rPr>
          <w:spacing w:val="-5"/>
          <w:sz w:val="19"/>
        </w:rPr>
        <w:t> </w:t>
      </w:r>
      <w:r>
        <w:rPr>
          <w:sz w:val="19"/>
        </w:rPr>
        <w:t>appellant.</w:t>
      </w:r>
    </w:p>
    <w:p>
      <w:pPr>
        <w:pStyle w:val="BodyText"/>
        <w:ind w:left="0"/>
        <w:rPr>
          <w:sz w:val="20"/>
        </w:rPr>
      </w:pPr>
    </w:p>
    <w:p>
      <w:pPr>
        <w:pStyle w:val="BodyText"/>
        <w:ind w:left="0"/>
        <w:rPr>
          <w:sz w:val="20"/>
        </w:rPr>
      </w:pPr>
    </w:p>
    <w:p>
      <w:pPr>
        <w:pStyle w:val="BodyText"/>
        <w:spacing w:before="10"/>
        <w:ind w:left="0"/>
        <w:rPr>
          <w:sz w:val="27"/>
        </w:rPr>
      </w:pPr>
    </w:p>
    <w:p>
      <w:pPr>
        <w:pStyle w:val="BodyText"/>
        <w:spacing w:before="1"/>
      </w:pPr>
      <w:r>
        <w:rPr/>
        <w:t>Date:</w:t>
      </w:r>
    </w:p>
    <w:p>
      <w:pPr>
        <w:pStyle w:val="BodyText"/>
        <w:ind w:left="0"/>
        <w:rPr>
          <w:sz w:val="24"/>
        </w:rPr>
      </w:pPr>
    </w:p>
    <w:p>
      <w:pPr>
        <w:pStyle w:val="BodyText"/>
        <w:ind w:left="0"/>
        <w:rPr>
          <w:sz w:val="24"/>
        </w:rPr>
      </w:pPr>
    </w:p>
    <w:p>
      <w:pPr>
        <w:pStyle w:val="BodyText"/>
        <w:spacing w:before="179"/>
      </w:pPr>
      <w:r>
        <w:rPr/>
        <w:t>Signature of appellant:</w:t>
      </w:r>
    </w:p>
    <w:p>
      <w:pPr>
        <w:pStyle w:val="BodyText"/>
        <w:spacing w:line="249" w:lineRule="auto" w:before="12"/>
        <w:ind w:right="5581"/>
      </w:pPr>
      <w:r>
        <w:rPr/>
        <w:t>(</w:t>
      </w:r>
      <w:r>
        <w:rPr>
          <w:b/>
          <w:i/>
        </w:rPr>
        <w:t>or </w:t>
      </w:r>
      <w:r>
        <w:rPr/>
        <w:t>person authorised to sign on behalf of appellant)</w:t>
      </w:r>
    </w:p>
    <w:p>
      <w:pPr>
        <w:pStyle w:val="BodyText"/>
        <w:ind w:left="0"/>
        <w:rPr>
          <w:sz w:val="24"/>
        </w:rPr>
      </w:pPr>
    </w:p>
    <w:p>
      <w:pPr>
        <w:pStyle w:val="BodyText"/>
        <w:ind w:left="0"/>
        <w:rPr>
          <w:sz w:val="24"/>
        </w:rPr>
      </w:pPr>
    </w:p>
    <w:p>
      <w:pPr>
        <w:pStyle w:val="BodyText"/>
        <w:spacing w:line="249" w:lineRule="auto" w:before="170"/>
        <w:ind w:right="5224"/>
      </w:pPr>
      <w:r>
        <w:rPr/>
        <w:t>Address for service of appellant: Telephone:</w:t>
      </w:r>
    </w:p>
    <w:p>
      <w:pPr>
        <w:pStyle w:val="BodyText"/>
        <w:spacing w:before="2"/>
      </w:pPr>
      <w:r>
        <w:rPr/>
        <w:t>Fax/email:</w:t>
      </w:r>
    </w:p>
    <w:p>
      <w:pPr>
        <w:spacing w:before="11"/>
        <w:ind w:left="304" w:right="0" w:firstLine="0"/>
        <w:jc w:val="left"/>
        <w:rPr>
          <w:sz w:val="23"/>
        </w:rPr>
      </w:pPr>
      <w:r>
        <w:rPr>
          <w:sz w:val="23"/>
        </w:rPr>
        <w:t>Contact person: [</w:t>
      </w:r>
      <w:r>
        <w:rPr>
          <w:i/>
          <w:sz w:val="23"/>
        </w:rPr>
        <w:t>name and designation, if applicable</w:t>
      </w:r>
      <w:r>
        <w:rPr>
          <w:sz w:val="23"/>
        </w:rPr>
        <w:t>]</w:t>
      </w:r>
    </w:p>
    <w:p>
      <w:pPr>
        <w:pStyle w:val="Heading2"/>
        <w:spacing w:before="212"/>
      </w:pPr>
      <w:r>
        <w:rPr/>
        <w:t>Note to appellant</w:t>
      </w:r>
    </w:p>
    <w:p>
      <w:pPr>
        <w:spacing w:before="211"/>
        <w:ind w:left="304" w:right="0" w:firstLine="0"/>
        <w:jc w:val="left"/>
        <w:rPr>
          <w:i/>
          <w:sz w:val="23"/>
        </w:rPr>
      </w:pPr>
      <w:r>
        <w:rPr>
          <w:i/>
          <w:sz w:val="23"/>
        </w:rPr>
        <w:t>Appeals other than in relation to freshwater planning instruments</w:t>
      </w:r>
    </w:p>
    <w:p>
      <w:pPr>
        <w:pStyle w:val="BodyText"/>
        <w:spacing w:before="92"/>
      </w:pPr>
      <w:r>
        <w:rPr/>
        <w:t>You may appeal only if—</w:t>
      </w:r>
    </w:p>
    <w:p>
      <w:pPr>
        <w:pStyle w:val="ListParagraph"/>
        <w:numPr>
          <w:ilvl w:val="0"/>
          <w:numId w:val="2"/>
        </w:numPr>
        <w:tabs>
          <w:tab w:pos="904" w:val="left" w:leader="none"/>
          <w:tab w:pos="905" w:val="left" w:leader="none"/>
        </w:tabs>
        <w:spacing w:line="249" w:lineRule="auto" w:before="91" w:after="0"/>
        <w:ind w:left="904" w:right="303" w:hanging="600"/>
        <w:jc w:val="left"/>
        <w:rPr>
          <w:sz w:val="23"/>
        </w:rPr>
      </w:pPr>
      <w:r>
        <w:rPr>
          <w:sz w:val="23"/>
        </w:rPr>
        <w:t>you referred in your submission or further submission to the provision</w:t>
      </w:r>
      <w:r>
        <w:rPr>
          <w:spacing w:val="15"/>
          <w:sz w:val="23"/>
        </w:rPr>
        <w:t> </w:t>
      </w:r>
      <w:r>
        <w:rPr>
          <w:sz w:val="23"/>
        </w:rPr>
        <w:t>or matter that is the subject of your appeal;</w:t>
      </w:r>
      <w:r>
        <w:rPr>
          <w:spacing w:val="-2"/>
          <w:sz w:val="23"/>
        </w:rPr>
        <w:t> </w:t>
      </w:r>
      <w:r>
        <w:rPr>
          <w:sz w:val="23"/>
        </w:rPr>
        <w:t>and</w:t>
      </w:r>
    </w:p>
    <w:p>
      <w:pPr>
        <w:pStyle w:val="ListParagraph"/>
        <w:numPr>
          <w:ilvl w:val="0"/>
          <w:numId w:val="2"/>
        </w:numPr>
        <w:tabs>
          <w:tab w:pos="905" w:val="left" w:leader="none"/>
        </w:tabs>
        <w:spacing w:line="249" w:lineRule="auto" w:before="82" w:after="0"/>
        <w:ind w:left="904" w:right="300" w:hanging="600"/>
        <w:jc w:val="both"/>
        <w:rPr>
          <w:sz w:val="23"/>
        </w:rPr>
      </w:pPr>
      <w:r>
        <w:rPr>
          <w:sz w:val="23"/>
        </w:rPr>
        <w:t>in the case of a decision relating to a proposed policy statement or plan (as opposed to a variation or change), your appeal does not seek withdrawal of the proposed policy statement or plan as a</w:t>
      </w:r>
      <w:r>
        <w:rPr>
          <w:spacing w:val="-3"/>
          <w:sz w:val="23"/>
        </w:rPr>
        <w:t> </w:t>
      </w:r>
      <w:r>
        <w:rPr>
          <w:sz w:val="23"/>
        </w:rPr>
        <w:t>whole.</w:t>
      </w:r>
    </w:p>
    <w:p>
      <w:pPr>
        <w:pStyle w:val="BodyText"/>
        <w:spacing w:line="249" w:lineRule="auto" w:before="83"/>
        <w:ind w:right="299" w:hanging="1"/>
        <w:jc w:val="both"/>
      </w:pPr>
      <w:r>
        <w:rPr/>
        <w:t>The Environment Court, when hearing an appeal relating to a matter included in a document under </w:t>
      </w:r>
      <w:hyperlink r:id="rId11">
        <w:r>
          <w:rPr/>
          <w:t>section 55(2B)</w:t>
        </w:r>
      </w:hyperlink>
      <w:r>
        <w:rPr/>
        <w:t> of the Act, may consider only the question of law raised.</w:t>
      </w:r>
    </w:p>
    <w:p>
      <w:pPr>
        <w:spacing w:before="203"/>
        <w:ind w:left="304" w:right="0" w:firstLine="0"/>
        <w:jc w:val="left"/>
        <w:rPr>
          <w:i/>
          <w:sz w:val="23"/>
        </w:rPr>
      </w:pPr>
      <w:r>
        <w:rPr>
          <w:i/>
          <w:sz w:val="23"/>
        </w:rPr>
        <w:t>Appeals in relation to freshwater planning instruments</w:t>
      </w:r>
    </w:p>
    <w:p>
      <w:pPr>
        <w:pStyle w:val="BodyText"/>
        <w:spacing w:before="91"/>
      </w:pPr>
      <w:r>
        <w:rPr/>
        <w:t>You may appeal only if—</w:t>
      </w:r>
    </w:p>
    <w:p>
      <w:pPr>
        <w:pStyle w:val="ListParagraph"/>
        <w:numPr>
          <w:ilvl w:val="0"/>
          <w:numId w:val="2"/>
        </w:numPr>
        <w:tabs>
          <w:tab w:pos="904" w:val="left" w:leader="none"/>
          <w:tab w:pos="905" w:val="left" w:leader="none"/>
        </w:tabs>
        <w:spacing w:line="249" w:lineRule="auto" w:before="92" w:after="0"/>
        <w:ind w:left="904" w:right="302" w:hanging="600"/>
        <w:jc w:val="left"/>
        <w:rPr>
          <w:sz w:val="23"/>
        </w:rPr>
      </w:pPr>
      <w:r>
        <w:rPr>
          <w:sz w:val="23"/>
        </w:rPr>
        <w:t>you addressed in your submission or further submission the provision or matter that is the subject of your appeal;</w:t>
      </w:r>
      <w:r>
        <w:rPr>
          <w:spacing w:val="-2"/>
          <w:sz w:val="23"/>
        </w:rPr>
        <w:t> </w:t>
      </w:r>
      <w:r>
        <w:rPr>
          <w:sz w:val="23"/>
        </w:rPr>
        <w:t>and</w:t>
      </w:r>
    </w:p>
    <w:p>
      <w:pPr>
        <w:pStyle w:val="ListParagraph"/>
        <w:numPr>
          <w:ilvl w:val="0"/>
          <w:numId w:val="2"/>
        </w:numPr>
        <w:tabs>
          <w:tab w:pos="904" w:val="left" w:leader="none"/>
          <w:tab w:pos="905" w:val="left" w:leader="none"/>
        </w:tabs>
        <w:spacing w:line="249" w:lineRule="auto" w:before="82" w:after="0"/>
        <w:ind w:left="904" w:right="302" w:hanging="600"/>
        <w:jc w:val="left"/>
        <w:rPr>
          <w:sz w:val="23"/>
        </w:rPr>
      </w:pPr>
      <w:r>
        <w:rPr>
          <w:sz w:val="23"/>
        </w:rPr>
        <w:t>the relevant regional council rejected a recommendation of the freshwater hear- ings panel and decided an alternative solution which resulted</w:t>
      </w:r>
      <w:r>
        <w:rPr>
          <w:spacing w:val="-8"/>
          <w:sz w:val="23"/>
        </w:rPr>
        <w:t> </w:t>
      </w:r>
      <w:r>
        <w:rPr>
          <w:sz w:val="23"/>
        </w:rPr>
        <w:t>in—</w:t>
      </w:r>
    </w:p>
    <w:p>
      <w:pPr>
        <w:pStyle w:val="ListParagraph"/>
        <w:numPr>
          <w:ilvl w:val="1"/>
          <w:numId w:val="3"/>
        </w:numPr>
        <w:tabs>
          <w:tab w:pos="1504" w:val="left" w:leader="none"/>
          <w:tab w:pos="1505" w:val="left" w:leader="none"/>
        </w:tabs>
        <w:spacing w:line="249" w:lineRule="auto" w:before="82" w:after="0"/>
        <w:ind w:left="1504" w:right="300" w:hanging="600"/>
        <w:jc w:val="left"/>
        <w:rPr>
          <w:sz w:val="23"/>
        </w:rPr>
      </w:pPr>
      <w:r>
        <w:rPr>
          <w:sz w:val="23"/>
        </w:rPr>
        <w:t>the provision or matter being included in the freshwater planning instru- ment; or</w:t>
      </w:r>
    </w:p>
    <w:p>
      <w:pPr>
        <w:spacing w:after="0" w:line="249" w:lineRule="auto"/>
        <w:jc w:val="left"/>
        <w:rPr>
          <w:sz w:val="23"/>
        </w:rPr>
        <w:sectPr>
          <w:pgSz w:w="11910" w:h="16840"/>
          <w:pgMar w:header="1841" w:footer="1265" w:top="2340" w:bottom="1460" w:left="1680" w:right="1680"/>
        </w:sectPr>
      </w:pPr>
    </w:p>
    <w:p>
      <w:pPr>
        <w:pStyle w:val="BodyText"/>
        <w:spacing w:before="11"/>
        <w:ind w:left="0"/>
        <w:rPr>
          <w:sz w:val="18"/>
        </w:rPr>
      </w:pPr>
    </w:p>
    <w:p>
      <w:pPr>
        <w:pStyle w:val="ListParagraph"/>
        <w:numPr>
          <w:ilvl w:val="1"/>
          <w:numId w:val="3"/>
        </w:numPr>
        <w:tabs>
          <w:tab w:pos="1504" w:val="left" w:leader="none"/>
          <w:tab w:pos="1505" w:val="left" w:leader="none"/>
        </w:tabs>
        <w:spacing w:line="249" w:lineRule="auto" w:before="90" w:after="0"/>
        <w:ind w:left="1504" w:right="301" w:hanging="600"/>
        <w:jc w:val="left"/>
        <w:rPr>
          <w:sz w:val="23"/>
        </w:rPr>
      </w:pPr>
      <w:r>
        <w:rPr>
          <w:sz w:val="23"/>
        </w:rPr>
        <w:t>the provision or matter being excluded from the freshwater planning instrument.</w:t>
      </w:r>
    </w:p>
    <w:p>
      <w:pPr>
        <w:pStyle w:val="BodyText"/>
        <w:spacing w:line="249" w:lineRule="auto" w:before="82"/>
        <w:ind w:right="299"/>
        <w:jc w:val="both"/>
      </w:pPr>
      <w:r>
        <w:rPr/>
        <w:t>If a regional council decides to reject a recommendation of the freshwater hearings panel that is outside the scope of submissions, you may appeal to the Environment Court in respect of that decision or the alternative solution proposed by the council if you made a submission.</w:t>
      </w:r>
    </w:p>
    <w:p>
      <w:pPr>
        <w:spacing w:before="204"/>
        <w:ind w:left="304" w:right="0" w:firstLine="0"/>
        <w:jc w:val="both"/>
        <w:rPr>
          <w:i/>
          <w:sz w:val="23"/>
        </w:rPr>
      </w:pPr>
      <w:r>
        <w:rPr>
          <w:i/>
          <w:sz w:val="23"/>
        </w:rPr>
        <w:t>Notes for all appeals</w:t>
      </w:r>
    </w:p>
    <w:p>
      <w:pPr>
        <w:pStyle w:val="BodyText"/>
        <w:spacing w:line="249" w:lineRule="auto" w:before="91"/>
        <w:ind w:right="302" w:hanging="1"/>
        <w:jc w:val="both"/>
      </w:pPr>
      <w:r>
        <w:rPr>
          <w:spacing w:val="-6"/>
        </w:rPr>
        <w:t>Your </w:t>
      </w:r>
      <w:r>
        <w:rPr/>
        <w:t>right to appeal may be limited by the trade competition provisions in </w:t>
      </w:r>
      <w:hyperlink r:id="rId12">
        <w:r>
          <w:rPr/>
          <w:t>Part </w:t>
        </w:r>
        <w:r>
          <w:rPr>
            <w:spacing w:val="-3"/>
          </w:rPr>
          <w:t>11A</w:t>
        </w:r>
      </w:hyperlink>
      <w:r>
        <w:rPr>
          <w:spacing w:val="-3"/>
        </w:rPr>
        <w:t>  </w:t>
      </w:r>
      <w:r>
        <w:rPr/>
        <w:t>of the</w:t>
      </w:r>
      <w:r>
        <w:rPr>
          <w:spacing w:val="-1"/>
        </w:rPr>
        <w:t> </w:t>
      </w:r>
      <w:r>
        <w:rPr/>
        <w:t>Act.</w:t>
      </w:r>
    </w:p>
    <w:p>
      <w:pPr>
        <w:pStyle w:val="BodyText"/>
        <w:spacing w:line="249" w:lineRule="auto" w:before="82"/>
        <w:ind w:right="300"/>
        <w:jc w:val="both"/>
      </w:pPr>
      <w:r>
        <w:rPr/>
        <w:t>You must lodge the original and 1 copy of this notice with the Environment Court within 30 working days of being served with notice of the decision to be appealed. The notice must be signed by you or on your behalf. You must pay the filing fee required by regulation 35.</w:t>
      </w:r>
    </w:p>
    <w:p>
      <w:pPr>
        <w:pStyle w:val="BodyText"/>
        <w:spacing w:line="249" w:lineRule="auto" w:before="84"/>
        <w:ind w:right="298"/>
        <w:jc w:val="both"/>
      </w:pPr>
      <w:r>
        <w:rPr/>
        <w:t>You must serve a copy of this notice on the local authority that made the decision and on the Minister of Conservation (if the appeal is on a regional coastal plan), within 30 working days of being served with a notice of the decision.</w:t>
      </w:r>
    </w:p>
    <w:p>
      <w:pPr>
        <w:pStyle w:val="BodyText"/>
        <w:spacing w:line="249" w:lineRule="auto" w:before="83"/>
        <w:ind w:right="302" w:hanging="1"/>
        <w:jc w:val="both"/>
      </w:pPr>
      <w:r>
        <w:rPr/>
        <w:t>You must also serve a copy of this notice on every person who made a submission to which the appeal relates within 5 working days after the notice is lodged with the Environment Court.</w:t>
      </w:r>
    </w:p>
    <w:p>
      <w:pPr>
        <w:pStyle w:val="BodyText"/>
        <w:spacing w:line="249" w:lineRule="auto" w:before="83"/>
        <w:ind w:right="299"/>
        <w:jc w:val="both"/>
      </w:pPr>
      <w:r>
        <w:rPr/>
        <w:t>Within 10 working days after lodging this notice, you must give written notice to the Registrar of the Environment Court of the name, address, and date of service for each person served with this notice.</w:t>
      </w:r>
    </w:p>
    <w:p>
      <w:pPr>
        <w:pStyle w:val="BodyText"/>
        <w:spacing w:line="249" w:lineRule="auto" w:before="83"/>
        <w:ind w:right="302" w:hanging="1"/>
        <w:jc w:val="both"/>
      </w:pPr>
      <w:r>
        <w:rPr/>
        <w:t>However, you may apply to the Environment Court under </w:t>
      </w:r>
      <w:hyperlink r:id="rId13">
        <w:r>
          <w:rPr/>
          <w:t>section 281 </w:t>
        </w:r>
      </w:hyperlink>
      <w:r>
        <w:rPr/>
        <w:t>of the Act for a waiver of the above timing or service requirements (</w:t>
      </w:r>
      <w:r>
        <w:rPr>
          <w:i/>
        </w:rPr>
        <w:t>see </w:t>
      </w:r>
      <w:hyperlink w:history="true" w:anchor="_bookmark0">
        <w:r>
          <w:rPr/>
          <w:t>form</w:t>
        </w:r>
      </w:hyperlink>
      <w:r>
        <w:rPr/>
        <w:t> 38).</w:t>
      </w:r>
    </w:p>
    <w:p>
      <w:pPr>
        <w:pStyle w:val="Heading2"/>
        <w:jc w:val="both"/>
      </w:pPr>
      <w:r>
        <w:rPr/>
        <w:t>Advice to recipients of copy of notice of appeal</w:t>
      </w:r>
    </w:p>
    <w:p>
      <w:pPr>
        <w:spacing w:before="92"/>
        <w:ind w:left="304" w:right="0" w:firstLine="0"/>
        <w:jc w:val="both"/>
        <w:rPr>
          <w:i/>
          <w:sz w:val="23"/>
        </w:rPr>
      </w:pPr>
      <w:r>
        <w:rPr>
          <w:i/>
          <w:sz w:val="23"/>
        </w:rPr>
        <w:t>How to become party to proceedings</w:t>
      </w:r>
    </w:p>
    <w:p>
      <w:pPr>
        <w:pStyle w:val="BodyText"/>
        <w:spacing w:line="249" w:lineRule="auto" w:before="92"/>
        <w:ind w:right="303"/>
        <w:jc w:val="both"/>
      </w:pPr>
      <w:r>
        <w:rPr/>
        <w:t>You may be a party to the appeal if you made a submission or a further submission on the matter of this appeal.</w:t>
      </w:r>
    </w:p>
    <w:p>
      <w:pPr>
        <w:pStyle w:val="BodyText"/>
        <w:spacing w:before="81"/>
        <w:jc w:val="both"/>
      </w:pPr>
      <w:r>
        <w:rPr/>
        <w:t>To become a party to the appeal, you must,—</w:t>
      </w:r>
    </w:p>
    <w:p>
      <w:pPr>
        <w:pStyle w:val="ListParagraph"/>
        <w:numPr>
          <w:ilvl w:val="0"/>
          <w:numId w:val="2"/>
        </w:numPr>
        <w:tabs>
          <w:tab w:pos="905" w:val="left" w:leader="none"/>
        </w:tabs>
        <w:spacing w:line="249" w:lineRule="auto" w:before="92" w:after="0"/>
        <w:ind w:left="904" w:right="300" w:hanging="600"/>
        <w:jc w:val="both"/>
        <w:rPr>
          <w:sz w:val="23"/>
        </w:rPr>
      </w:pPr>
      <w:r>
        <w:rPr>
          <w:sz w:val="23"/>
        </w:rPr>
        <w:t>within 15 working days after the period for lodging a notice of appeal ends, lodge a notice of your wish to be a party to the proceedings (in form 33) with the Environment Court and serve copies of your notice on the relevant local authority and the appellant; and</w:t>
      </w:r>
    </w:p>
    <w:p>
      <w:pPr>
        <w:pStyle w:val="ListParagraph"/>
        <w:numPr>
          <w:ilvl w:val="0"/>
          <w:numId w:val="2"/>
        </w:numPr>
        <w:tabs>
          <w:tab w:pos="904" w:val="left" w:leader="none"/>
          <w:tab w:pos="905" w:val="left" w:leader="none"/>
        </w:tabs>
        <w:spacing w:line="249" w:lineRule="auto" w:before="84" w:after="0"/>
        <w:ind w:left="904" w:right="300" w:hanging="600"/>
        <w:jc w:val="left"/>
        <w:rPr>
          <w:sz w:val="23"/>
        </w:rPr>
      </w:pPr>
      <w:r>
        <w:rPr>
          <w:sz w:val="23"/>
        </w:rPr>
        <w:t>within 20 working days after the period for lodging a notice of appeal ends, serve copies of your notice on all other</w:t>
      </w:r>
      <w:r>
        <w:rPr>
          <w:spacing w:val="-2"/>
          <w:sz w:val="23"/>
        </w:rPr>
        <w:t> </w:t>
      </w:r>
      <w:r>
        <w:rPr>
          <w:sz w:val="23"/>
        </w:rPr>
        <w:t>parties.</w:t>
      </w:r>
    </w:p>
    <w:p>
      <w:pPr>
        <w:pStyle w:val="BodyText"/>
        <w:spacing w:line="249" w:lineRule="auto" w:before="82"/>
        <w:ind w:right="298"/>
        <w:jc w:val="both"/>
      </w:pPr>
      <w:r>
        <w:rPr/>
        <w:t>Your right to be a party to the proceedings in the court may be limited by the trade competition provisions in</w:t>
      </w:r>
      <w:hyperlink r:id="rId14">
        <w:r>
          <w:rPr/>
          <w:t> section 274(1)</w:t>
        </w:r>
      </w:hyperlink>
      <w:r>
        <w:rPr/>
        <w:t> and </w:t>
      </w:r>
      <w:hyperlink r:id="rId12">
        <w:r>
          <w:rPr/>
          <w:t>Part 11A</w:t>
        </w:r>
      </w:hyperlink>
      <w:r>
        <w:rPr/>
        <w:t> of the Act.</w:t>
      </w:r>
    </w:p>
    <w:p>
      <w:pPr>
        <w:pStyle w:val="BodyText"/>
        <w:spacing w:line="249" w:lineRule="auto" w:before="81"/>
        <w:ind w:right="302" w:hanging="1"/>
        <w:jc w:val="both"/>
      </w:pPr>
      <w:r>
        <w:rPr/>
        <w:t>You may apply to the Environment Court under </w:t>
      </w:r>
      <w:hyperlink r:id="rId13">
        <w:r>
          <w:rPr/>
          <w:t>section 281 </w:t>
        </w:r>
      </w:hyperlink>
      <w:r>
        <w:rPr/>
        <w:t>of the Act for a waiver of the above timing or service requirements (</w:t>
      </w:r>
      <w:r>
        <w:rPr>
          <w:i/>
        </w:rPr>
        <w:t>see </w:t>
      </w:r>
      <w:hyperlink w:history="true" w:anchor="_bookmark0">
        <w:r>
          <w:rPr/>
          <w:t>form</w:t>
        </w:r>
      </w:hyperlink>
      <w:r>
        <w:rPr/>
        <w:t> 38).</w:t>
      </w:r>
    </w:p>
    <w:p>
      <w:pPr>
        <w:spacing w:after="0" w:line="249" w:lineRule="auto"/>
        <w:jc w:val="both"/>
        <w:sectPr>
          <w:pgSz w:w="11910" w:h="16840"/>
          <w:pgMar w:header="1841" w:footer="1265" w:top="2340" w:bottom="1460" w:left="1680" w:right="1680"/>
        </w:sectPr>
      </w:pPr>
    </w:p>
    <w:p>
      <w:pPr>
        <w:pStyle w:val="BodyText"/>
        <w:spacing w:before="11"/>
        <w:ind w:left="0"/>
        <w:rPr>
          <w:sz w:val="18"/>
        </w:rPr>
      </w:pPr>
    </w:p>
    <w:p>
      <w:pPr>
        <w:spacing w:before="90"/>
        <w:ind w:left="304" w:right="0" w:firstLine="0"/>
        <w:jc w:val="left"/>
        <w:rPr>
          <w:i/>
          <w:sz w:val="23"/>
        </w:rPr>
      </w:pPr>
      <w:r>
        <w:rPr>
          <w:i/>
          <w:sz w:val="23"/>
        </w:rPr>
        <w:t>*How to obtain copies of documents relating to appeal</w:t>
      </w:r>
    </w:p>
    <w:p>
      <w:pPr>
        <w:pStyle w:val="BodyText"/>
        <w:spacing w:line="249" w:lineRule="auto" w:before="92"/>
        <w:ind w:right="299"/>
        <w:jc w:val="both"/>
      </w:pPr>
      <w:r>
        <w:rPr/>
        <w:t>The copy of this notice served on you does not have attached a copy of the appellant’s submission and (</w:t>
      </w:r>
      <w:r>
        <w:rPr>
          <w:i/>
        </w:rPr>
        <w:t>or </w:t>
      </w:r>
      <w:r>
        <w:rPr/>
        <w:t>or) the decision (</w:t>
      </w:r>
      <w:r>
        <w:rPr>
          <w:i/>
        </w:rPr>
        <w:t>or </w:t>
      </w:r>
      <w:r>
        <w:rPr/>
        <w:t>part of the decision) appealed. These docu- ments may be obtained, on request, from the appellant.</w:t>
      </w:r>
    </w:p>
    <w:p>
      <w:pPr>
        <w:spacing w:before="76"/>
        <w:ind w:left="304" w:right="0" w:firstLine="0"/>
        <w:jc w:val="left"/>
        <w:rPr>
          <w:sz w:val="19"/>
        </w:rPr>
      </w:pPr>
      <w:r>
        <w:rPr>
          <w:sz w:val="19"/>
        </w:rPr>
        <w:t>*Delete if these documents are attached to copies of the notice of appeal served on other persons.</w:t>
      </w:r>
    </w:p>
    <w:p>
      <w:pPr>
        <w:pStyle w:val="BodyText"/>
        <w:spacing w:before="5"/>
        <w:ind w:left="0"/>
        <w:rPr>
          <w:sz w:val="22"/>
        </w:rPr>
      </w:pPr>
    </w:p>
    <w:p>
      <w:pPr>
        <w:spacing w:before="0"/>
        <w:ind w:left="304" w:right="0" w:firstLine="0"/>
        <w:jc w:val="left"/>
        <w:rPr>
          <w:i/>
          <w:sz w:val="23"/>
        </w:rPr>
      </w:pPr>
      <w:r>
        <w:rPr>
          <w:i/>
          <w:sz w:val="23"/>
        </w:rPr>
        <w:t>Advice</w:t>
      </w:r>
    </w:p>
    <w:p>
      <w:pPr>
        <w:pStyle w:val="BodyText"/>
        <w:spacing w:line="249" w:lineRule="auto" w:before="92"/>
        <w:ind w:right="45"/>
      </w:pPr>
      <w:r>
        <w:rPr/>
        <w:t>If you have any questions about this notice, contact the Environment Court in Auck- land, Wellington, or Christchurch.</w:t>
      </w:r>
    </w:p>
    <w:p>
      <w:pPr>
        <w:spacing w:line="249" w:lineRule="auto" w:before="84"/>
        <w:ind w:left="904" w:right="0" w:firstLine="0"/>
        <w:jc w:val="left"/>
        <w:rPr>
          <w:sz w:val="18"/>
        </w:rPr>
      </w:pPr>
      <w:r>
        <w:rPr>
          <w:sz w:val="18"/>
        </w:rPr>
        <w:t>Schedule 1 form 7: replaced, on 3 September 2020, by </w:t>
      </w:r>
      <w:hyperlink r:id="rId15">
        <w:r>
          <w:rPr>
            <w:sz w:val="18"/>
          </w:rPr>
          <w:t>regulation 7(3) </w:t>
        </w:r>
      </w:hyperlink>
      <w:r>
        <w:rPr>
          <w:sz w:val="18"/>
        </w:rPr>
        <w:t>of the Resource Management (Forms, Fees, and Procedure) Amendment Regulations 2020 (LI 2020/180).</w:t>
      </w:r>
    </w:p>
    <w:sectPr>
      <w:pgSz w:w="11910" w:h="16840"/>
      <w:pgMar w:header="1841" w:footer="1265" w:top="2340" w:bottom="146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485.067047pt;margin-top:767.660767pt;width:13pt;height:12pt;mso-position-horizontal-relative:page;mso-position-vertical-relative:page;z-index:-5032" type="#_x0000_t202" filled="false" stroked="false">
          <v:textbox inset="0,0,0,0">
            <w:txbxContent>
              <w:p>
                <w:pPr>
                  <w:spacing w:before="12"/>
                  <w:ind w:left="40" w:right="0" w:firstLine="0"/>
                  <w:jc w:val="left"/>
                  <w:rPr>
                    <w:sz w:val="18"/>
                  </w:rPr>
                </w:pPr>
                <w:r>
                  <w:rPr/>
                  <w:fldChar w:fldCharType="begin"/>
                </w:r>
                <w:r>
                  <w:rPr>
                    <w:sz w:val="18"/>
                  </w:rPr>
                  <w:instrText> PAGE </w:instrText>
                </w:r>
                <w:r>
                  <w:rPr/>
                  <w:fldChar w:fldCharType="separate"/>
                </w:r>
                <w:r>
                  <w:rPr/>
                  <w:t>55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97.212624pt;margin-top:767.660767pt;width:13pt;height:12pt;mso-position-horizontal-relative:page;mso-position-vertical-relative:page;z-index:-5008" type="#_x0000_t202" filled="false" stroked="false">
          <v:textbox inset="0,0,0,0">
            <w:txbxContent>
              <w:p>
                <w:pPr>
                  <w:spacing w:before="12"/>
                  <w:ind w:left="40" w:right="0" w:firstLine="0"/>
                  <w:jc w:val="left"/>
                  <w:rPr>
                    <w:sz w:val="18"/>
                  </w:rPr>
                </w:pPr>
                <w:r>
                  <w:rPr/>
                  <w:fldChar w:fldCharType="begin"/>
                </w:r>
                <w:r>
                  <w:rPr>
                    <w:sz w:val="18"/>
                  </w:rPr>
                  <w:instrText> PAGE </w:instrText>
                </w:r>
                <w:r>
                  <w:rPr/>
                  <w:fldChar w:fldCharType="separate"/>
                </w:r>
                <w:r>
                  <w:rPr/>
                  <w:t>56</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5224" from="99.212624pt,116.978348pt" to="496.063024pt,116.978348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98.209419pt;margin-top:91.061554pt;width:67.5pt;height:22.8pt;mso-position-horizontal-relative:page;mso-position-vertical-relative:page;z-index:-5200" type="#_x0000_t202" filled="false" stroked="false">
          <v:textbox inset="0,0,0,0">
            <w:txbxContent>
              <w:p>
                <w:pPr>
                  <w:spacing w:before="12"/>
                  <w:ind w:left="20" w:right="0" w:firstLine="0"/>
                  <w:jc w:val="left"/>
                  <w:rPr>
                    <w:sz w:val="18"/>
                  </w:rPr>
                </w:pPr>
                <w:r>
                  <w:rPr>
                    <w:sz w:val="18"/>
                  </w:rPr>
                  <w:t>Reprinted as at</w:t>
                </w:r>
              </w:p>
              <w:p>
                <w:pPr>
                  <w:spacing w:before="9"/>
                  <w:ind w:left="20" w:right="0" w:firstLine="0"/>
                  <w:jc w:val="left"/>
                  <w:rPr>
                    <w:sz w:val="18"/>
                  </w:rPr>
                </w:pPr>
                <w:r>
                  <w:rPr>
                    <w:sz w:val="18"/>
                  </w:rPr>
                  <w:t>3 September 2020</w:t>
                </w:r>
              </w:p>
            </w:txbxContent>
          </v:textbox>
          <w10:wrap type="none"/>
        </v:shape>
      </w:pict>
    </w:r>
    <w:r>
      <w:rPr/>
      <w:pict>
        <v:shape style="position:absolute;margin-left:194.784378pt;margin-top:91.061554pt;width:205.75pt;height:22.8pt;mso-position-horizontal-relative:page;mso-position-vertical-relative:page;z-index:-5176" type="#_x0000_t202" filled="false" stroked="false">
          <v:textbox inset="0,0,0,0">
            <w:txbxContent>
              <w:p>
                <w:pPr>
                  <w:spacing w:line="249" w:lineRule="auto" w:before="12"/>
                  <w:ind w:left="1399" w:right="-8" w:hanging="1380"/>
                  <w:jc w:val="left"/>
                  <w:rPr>
                    <w:b/>
                    <w:sz w:val="18"/>
                  </w:rPr>
                </w:pPr>
                <w:r>
                  <w:rPr>
                    <w:b/>
                    <w:sz w:val="18"/>
                  </w:rPr>
                  <w:t>Resource Management (Forms, Fees, and Procedure) Regulations 2003</w:t>
                </w:r>
              </w:p>
            </w:txbxContent>
          </v:textbox>
          <w10:wrap type="none"/>
        </v:shape>
      </w:pict>
    </w:r>
    <w:r>
      <w:rPr/>
      <w:pict>
        <v:shape style="position:absolute;margin-left:455.319824pt;margin-top:101.861549pt;width:41.75pt;height:12pt;mso-position-horizontal-relative:page;mso-position-vertical-relative:page;z-index:-5152" type="#_x0000_t202" filled="false" stroked="false">
          <v:textbox inset="0,0,0,0">
            <w:txbxContent>
              <w:p>
                <w:pPr>
                  <w:spacing w:before="12"/>
                  <w:ind w:left="20" w:right="0" w:firstLine="0"/>
                  <w:jc w:val="left"/>
                  <w:rPr>
                    <w:sz w:val="18"/>
                  </w:rPr>
                </w:pPr>
                <w:r>
                  <w:rPr>
                    <w:sz w:val="18"/>
                  </w:rPr>
                  <w:t>Schedule 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5128" from="99.212624pt,116.978348pt" to="496.063024pt,116.978348pt" stroked="true" strokeweight=".5pt" strokecolor="#000000">
          <v:stroke dashstyle="solid"/>
          <w10:wrap type="none"/>
        </v:line>
      </w:pict>
    </w:r>
    <w:r>
      <w:rPr/>
      <w:pict>
        <v:shape style="position:absolute;margin-left:194.789139pt;margin-top:91.061554pt;width:205.75pt;height:22.8pt;mso-position-horizontal-relative:page;mso-position-vertical-relative:page;z-index:-5104" type="#_x0000_t202" filled="false" stroked="false">
          <v:textbox inset="0,0,0,0">
            <w:txbxContent>
              <w:p>
                <w:pPr>
                  <w:spacing w:line="249" w:lineRule="auto" w:before="12"/>
                  <w:ind w:left="1399" w:right="-8" w:hanging="1380"/>
                  <w:jc w:val="left"/>
                  <w:rPr>
                    <w:b/>
                    <w:sz w:val="18"/>
                  </w:rPr>
                </w:pPr>
                <w:r>
                  <w:rPr>
                    <w:b/>
                    <w:sz w:val="18"/>
                  </w:rPr>
                  <w:t>Resource Management (Forms, Fees, and Procedure) Regulations 2003</w:t>
                </w:r>
              </w:p>
            </w:txbxContent>
          </v:textbox>
          <w10:wrap type="none"/>
        </v:shape>
      </w:pict>
    </w:r>
    <w:r>
      <w:rPr/>
      <w:pict>
        <v:shape style="position:absolute;margin-left:429.575592pt;margin-top:91.061554pt;width:67.5pt;height:22.8pt;mso-position-horizontal-relative:page;mso-position-vertical-relative:page;z-index:-5080" type="#_x0000_t202" filled="false" stroked="false">
          <v:textbox inset="0,0,0,0">
            <w:txbxContent>
              <w:p>
                <w:pPr>
                  <w:spacing w:line="249" w:lineRule="auto" w:before="12"/>
                  <w:ind w:left="20" w:right="0" w:firstLine="230"/>
                  <w:jc w:val="left"/>
                  <w:rPr>
                    <w:sz w:val="18"/>
                  </w:rPr>
                </w:pPr>
                <w:r>
                  <w:rPr>
                    <w:sz w:val="18"/>
                  </w:rPr>
                  <w:t>Reprinted as at 3 September 2020</w:t>
                </w:r>
              </w:p>
            </w:txbxContent>
          </v:textbox>
          <w10:wrap type="none"/>
        </v:shape>
      </w:pict>
    </w:r>
    <w:r>
      <w:rPr/>
      <w:pict>
        <v:shape style="position:absolute;margin-left:98.21418pt;margin-top:101.861549pt;width:41.75pt;height:12pt;mso-position-horizontal-relative:page;mso-position-vertical-relative:page;z-index:-5056" type="#_x0000_t202" filled="false" stroked="false">
          <v:textbox inset="0,0,0,0">
            <w:txbxContent>
              <w:p>
                <w:pPr>
                  <w:spacing w:before="12"/>
                  <w:ind w:left="20" w:right="0" w:firstLine="0"/>
                  <w:jc w:val="left"/>
                  <w:rPr>
                    <w:sz w:val="18"/>
                  </w:rPr>
                </w:pPr>
                <w:r>
                  <w:rPr>
                    <w:sz w:val="18"/>
                  </w:rPr>
                  <w:t>Schedule 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904" w:hanging="600"/>
        <w:jc w:val="left"/>
      </w:pPr>
      <w:rPr>
        <w:rFonts w:hint="default" w:ascii="Times New Roman" w:hAnsi="Times New Roman" w:eastAsia="Times New Roman" w:cs="Times New Roman"/>
        <w:spacing w:val="-1"/>
        <w:w w:val="100"/>
        <w:sz w:val="23"/>
        <w:szCs w:val="23"/>
        <w:lang w:val="en-US" w:eastAsia="en-US" w:bidi="en-US"/>
      </w:rPr>
    </w:lvl>
    <w:lvl w:ilvl="1">
      <w:start w:val="1"/>
      <w:numFmt w:val="lowerLetter"/>
      <w:lvlText w:val="(%2)"/>
      <w:lvlJc w:val="left"/>
      <w:pPr>
        <w:ind w:left="1504" w:hanging="600"/>
        <w:jc w:val="left"/>
      </w:pPr>
      <w:rPr>
        <w:rFonts w:hint="default" w:ascii="Times New Roman" w:hAnsi="Times New Roman" w:eastAsia="Times New Roman" w:cs="Times New Roman"/>
        <w:spacing w:val="-1"/>
        <w:w w:val="100"/>
        <w:sz w:val="23"/>
        <w:szCs w:val="23"/>
        <w:lang w:val="en-US" w:eastAsia="en-US" w:bidi="en-US"/>
      </w:rPr>
    </w:lvl>
    <w:lvl w:ilvl="2">
      <w:start w:val="0"/>
      <w:numFmt w:val="bullet"/>
      <w:lvlText w:val="•"/>
      <w:lvlJc w:val="left"/>
      <w:pPr>
        <w:ind w:left="2282" w:hanging="600"/>
      </w:pPr>
      <w:rPr>
        <w:rFonts w:hint="default"/>
        <w:lang w:val="en-US" w:eastAsia="en-US" w:bidi="en-US"/>
      </w:rPr>
    </w:lvl>
    <w:lvl w:ilvl="3">
      <w:start w:val="0"/>
      <w:numFmt w:val="bullet"/>
      <w:lvlText w:val="•"/>
      <w:lvlJc w:val="left"/>
      <w:pPr>
        <w:ind w:left="3065" w:hanging="600"/>
      </w:pPr>
      <w:rPr>
        <w:rFonts w:hint="default"/>
        <w:lang w:val="en-US" w:eastAsia="en-US" w:bidi="en-US"/>
      </w:rPr>
    </w:lvl>
    <w:lvl w:ilvl="4">
      <w:start w:val="0"/>
      <w:numFmt w:val="bullet"/>
      <w:lvlText w:val="•"/>
      <w:lvlJc w:val="left"/>
      <w:pPr>
        <w:ind w:left="3848" w:hanging="600"/>
      </w:pPr>
      <w:rPr>
        <w:rFonts w:hint="default"/>
        <w:lang w:val="en-US" w:eastAsia="en-US" w:bidi="en-US"/>
      </w:rPr>
    </w:lvl>
    <w:lvl w:ilvl="5">
      <w:start w:val="0"/>
      <w:numFmt w:val="bullet"/>
      <w:lvlText w:val="•"/>
      <w:lvlJc w:val="left"/>
      <w:pPr>
        <w:ind w:left="4631" w:hanging="600"/>
      </w:pPr>
      <w:rPr>
        <w:rFonts w:hint="default"/>
        <w:lang w:val="en-US" w:eastAsia="en-US" w:bidi="en-US"/>
      </w:rPr>
    </w:lvl>
    <w:lvl w:ilvl="6">
      <w:start w:val="0"/>
      <w:numFmt w:val="bullet"/>
      <w:lvlText w:val="•"/>
      <w:lvlJc w:val="left"/>
      <w:pPr>
        <w:ind w:left="5414" w:hanging="600"/>
      </w:pPr>
      <w:rPr>
        <w:rFonts w:hint="default"/>
        <w:lang w:val="en-US" w:eastAsia="en-US" w:bidi="en-US"/>
      </w:rPr>
    </w:lvl>
    <w:lvl w:ilvl="7">
      <w:start w:val="0"/>
      <w:numFmt w:val="bullet"/>
      <w:lvlText w:val="•"/>
      <w:lvlJc w:val="left"/>
      <w:pPr>
        <w:ind w:left="6197" w:hanging="600"/>
      </w:pPr>
      <w:rPr>
        <w:rFonts w:hint="default"/>
        <w:lang w:val="en-US" w:eastAsia="en-US" w:bidi="en-US"/>
      </w:rPr>
    </w:lvl>
    <w:lvl w:ilvl="8">
      <w:start w:val="0"/>
      <w:numFmt w:val="bullet"/>
      <w:lvlText w:val="•"/>
      <w:lvlJc w:val="left"/>
      <w:pPr>
        <w:ind w:left="6979" w:hanging="600"/>
      </w:pPr>
      <w:rPr>
        <w:rFonts w:hint="default"/>
        <w:lang w:val="en-US" w:eastAsia="en-US" w:bidi="en-US"/>
      </w:rPr>
    </w:lvl>
  </w:abstractNum>
  <w:abstractNum w:abstractNumId="1">
    <w:multiLevelType w:val="hybridMultilevel"/>
    <w:lvl w:ilvl="0">
      <w:start w:val="0"/>
      <w:numFmt w:val="bullet"/>
      <w:lvlText w:val="•"/>
      <w:lvlJc w:val="left"/>
      <w:pPr>
        <w:ind w:left="904" w:hanging="600"/>
      </w:pPr>
      <w:rPr>
        <w:rFonts w:hint="default" w:ascii="Times New Roman" w:hAnsi="Times New Roman" w:eastAsia="Times New Roman" w:cs="Times New Roman"/>
        <w:spacing w:val="-1"/>
        <w:w w:val="100"/>
        <w:sz w:val="23"/>
        <w:szCs w:val="23"/>
        <w:lang w:val="en-US" w:eastAsia="en-US" w:bidi="en-US"/>
      </w:rPr>
    </w:lvl>
    <w:lvl w:ilvl="1">
      <w:start w:val="0"/>
      <w:numFmt w:val="bullet"/>
      <w:lvlText w:val="•"/>
      <w:lvlJc w:val="left"/>
      <w:pPr>
        <w:ind w:left="1664" w:hanging="600"/>
      </w:pPr>
      <w:rPr>
        <w:rFonts w:hint="default"/>
        <w:lang w:val="en-US" w:eastAsia="en-US" w:bidi="en-US"/>
      </w:rPr>
    </w:lvl>
    <w:lvl w:ilvl="2">
      <w:start w:val="0"/>
      <w:numFmt w:val="bullet"/>
      <w:lvlText w:val="•"/>
      <w:lvlJc w:val="left"/>
      <w:pPr>
        <w:ind w:left="2429" w:hanging="600"/>
      </w:pPr>
      <w:rPr>
        <w:rFonts w:hint="default"/>
        <w:lang w:val="en-US" w:eastAsia="en-US" w:bidi="en-US"/>
      </w:rPr>
    </w:lvl>
    <w:lvl w:ilvl="3">
      <w:start w:val="0"/>
      <w:numFmt w:val="bullet"/>
      <w:lvlText w:val="•"/>
      <w:lvlJc w:val="left"/>
      <w:pPr>
        <w:ind w:left="3193" w:hanging="600"/>
      </w:pPr>
      <w:rPr>
        <w:rFonts w:hint="default"/>
        <w:lang w:val="en-US" w:eastAsia="en-US" w:bidi="en-US"/>
      </w:rPr>
    </w:lvl>
    <w:lvl w:ilvl="4">
      <w:start w:val="0"/>
      <w:numFmt w:val="bullet"/>
      <w:lvlText w:val="•"/>
      <w:lvlJc w:val="left"/>
      <w:pPr>
        <w:ind w:left="3958" w:hanging="600"/>
      </w:pPr>
      <w:rPr>
        <w:rFonts w:hint="default"/>
        <w:lang w:val="en-US" w:eastAsia="en-US" w:bidi="en-US"/>
      </w:rPr>
    </w:lvl>
    <w:lvl w:ilvl="5">
      <w:start w:val="0"/>
      <w:numFmt w:val="bullet"/>
      <w:lvlText w:val="•"/>
      <w:lvlJc w:val="left"/>
      <w:pPr>
        <w:ind w:left="4722" w:hanging="600"/>
      </w:pPr>
      <w:rPr>
        <w:rFonts w:hint="default"/>
        <w:lang w:val="en-US" w:eastAsia="en-US" w:bidi="en-US"/>
      </w:rPr>
    </w:lvl>
    <w:lvl w:ilvl="6">
      <w:start w:val="0"/>
      <w:numFmt w:val="bullet"/>
      <w:lvlText w:val="•"/>
      <w:lvlJc w:val="left"/>
      <w:pPr>
        <w:ind w:left="5487" w:hanging="600"/>
      </w:pPr>
      <w:rPr>
        <w:rFonts w:hint="default"/>
        <w:lang w:val="en-US" w:eastAsia="en-US" w:bidi="en-US"/>
      </w:rPr>
    </w:lvl>
    <w:lvl w:ilvl="7">
      <w:start w:val="0"/>
      <w:numFmt w:val="bullet"/>
      <w:lvlText w:val="•"/>
      <w:lvlJc w:val="left"/>
      <w:pPr>
        <w:ind w:left="6251" w:hanging="600"/>
      </w:pPr>
      <w:rPr>
        <w:rFonts w:hint="default"/>
        <w:lang w:val="en-US" w:eastAsia="en-US" w:bidi="en-US"/>
      </w:rPr>
    </w:lvl>
    <w:lvl w:ilvl="8">
      <w:start w:val="0"/>
      <w:numFmt w:val="bullet"/>
      <w:lvlText w:val="•"/>
      <w:lvlJc w:val="left"/>
      <w:pPr>
        <w:ind w:left="7016" w:hanging="600"/>
      </w:pPr>
      <w:rPr>
        <w:rFonts w:hint="default"/>
        <w:lang w:val="en-US" w:eastAsia="en-US" w:bidi="en-US"/>
      </w:rPr>
    </w:lvl>
  </w:abstractNum>
  <w:abstractNum w:abstractNumId="0">
    <w:multiLevelType w:val="hybridMultilevel"/>
    <w:lvl w:ilvl="0">
      <w:start w:val="1"/>
      <w:numFmt w:val="lowerLetter"/>
      <w:lvlText w:val="(%1)"/>
      <w:lvlJc w:val="left"/>
      <w:pPr>
        <w:ind w:left="904" w:hanging="600"/>
        <w:jc w:val="left"/>
      </w:pPr>
      <w:rPr>
        <w:rFonts w:hint="default" w:ascii="Times New Roman" w:hAnsi="Times New Roman" w:eastAsia="Times New Roman" w:cs="Times New Roman"/>
        <w:spacing w:val="-5"/>
        <w:w w:val="100"/>
        <w:sz w:val="23"/>
        <w:szCs w:val="23"/>
        <w:lang w:val="en-US" w:eastAsia="en-US" w:bidi="en-US"/>
      </w:rPr>
    </w:lvl>
    <w:lvl w:ilvl="1">
      <w:start w:val="0"/>
      <w:numFmt w:val="bullet"/>
      <w:lvlText w:val="•"/>
      <w:lvlJc w:val="left"/>
      <w:pPr>
        <w:ind w:left="1664" w:hanging="600"/>
      </w:pPr>
      <w:rPr>
        <w:rFonts w:hint="default"/>
        <w:lang w:val="en-US" w:eastAsia="en-US" w:bidi="en-US"/>
      </w:rPr>
    </w:lvl>
    <w:lvl w:ilvl="2">
      <w:start w:val="0"/>
      <w:numFmt w:val="bullet"/>
      <w:lvlText w:val="•"/>
      <w:lvlJc w:val="left"/>
      <w:pPr>
        <w:ind w:left="2429" w:hanging="600"/>
      </w:pPr>
      <w:rPr>
        <w:rFonts w:hint="default"/>
        <w:lang w:val="en-US" w:eastAsia="en-US" w:bidi="en-US"/>
      </w:rPr>
    </w:lvl>
    <w:lvl w:ilvl="3">
      <w:start w:val="0"/>
      <w:numFmt w:val="bullet"/>
      <w:lvlText w:val="•"/>
      <w:lvlJc w:val="left"/>
      <w:pPr>
        <w:ind w:left="3193" w:hanging="600"/>
      </w:pPr>
      <w:rPr>
        <w:rFonts w:hint="default"/>
        <w:lang w:val="en-US" w:eastAsia="en-US" w:bidi="en-US"/>
      </w:rPr>
    </w:lvl>
    <w:lvl w:ilvl="4">
      <w:start w:val="0"/>
      <w:numFmt w:val="bullet"/>
      <w:lvlText w:val="•"/>
      <w:lvlJc w:val="left"/>
      <w:pPr>
        <w:ind w:left="3958" w:hanging="600"/>
      </w:pPr>
      <w:rPr>
        <w:rFonts w:hint="default"/>
        <w:lang w:val="en-US" w:eastAsia="en-US" w:bidi="en-US"/>
      </w:rPr>
    </w:lvl>
    <w:lvl w:ilvl="5">
      <w:start w:val="0"/>
      <w:numFmt w:val="bullet"/>
      <w:lvlText w:val="•"/>
      <w:lvlJc w:val="left"/>
      <w:pPr>
        <w:ind w:left="4722" w:hanging="600"/>
      </w:pPr>
      <w:rPr>
        <w:rFonts w:hint="default"/>
        <w:lang w:val="en-US" w:eastAsia="en-US" w:bidi="en-US"/>
      </w:rPr>
    </w:lvl>
    <w:lvl w:ilvl="6">
      <w:start w:val="0"/>
      <w:numFmt w:val="bullet"/>
      <w:lvlText w:val="•"/>
      <w:lvlJc w:val="left"/>
      <w:pPr>
        <w:ind w:left="5487" w:hanging="600"/>
      </w:pPr>
      <w:rPr>
        <w:rFonts w:hint="default"/>
        <w:lang w:val="en-US" w:eastAsia="en-US" w:bidi="en-US"/>
      </w:rPr>
    </w:lvl>
    <w:lvl w:ilvl="7">
      <w:start w:val="0"/>
      <w:numFmt w:val="bullet"/>
      <w:lvlText w:val="•"/>
      <w:lvlJc w:val="left"/>
      <w:pPr>
        <w:ind w:left="6251" w:hanging="600"/>
      </w:pPr>
      <w:rPr>
        <w:rFonts w:hint="default"/>
        <w:lang w:val="en-US" w:eastAsia="en-US" w:bidi="en-US"/>
      </w:rPr>
    </w:lvl>
    <w:lvl w:ilvl="8">
      <w:start w:val="0"/>
      <w:numFmt w:val="bullet"/>
      <w:lvlText w:val="•"/>
      <w:lvlJc w:val="left"/>
      <w:pPr>
        <w:ind w:left="7016" w:hanging="60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304"/>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spacing w:before="43"/>
      <w:ind w:left="492" w:right="492"/>
      <w:jc w:val="center"/>
      <w:outlineLvl w:val="1"/>
    </w:pPr>
    <w:rPr>
      <w:rFonts w:ascii="Times New Roman" w:hAnsi="Times New Roman" w:eastAsia="Times New Roman" w:cs="Times New Roman"/>
      <w:sz w:val="25"/>
      <w:szCs w:val="25"/>
      <w:lang w:val="en-US" w:eastAsia="en-US" w:bidi="en-US"/>
    </w:rPr>
  </w:style>
  <w:style w:styleId="Heading2" w:type="paragraph">
    <w:name w:val="Heading 2"/>
    <w:basedOn w:val="Normal"/>
    <w:uiPriority w:val="1"/>
    <w:qFormat/>
    <w:pPr>
      <w:spacing w:before="201"/>
      <w:ind w:left="304"/>
      <w:outlineLvl w:val="2"/>
    </w:pPr>
    <w:rPr>
      <w:rFonts w:ascii="Times New Roman" w:hAnsi="Times New Roman" w:eastAsia="Times New Roman" w:cs="Times New Roman"/>
      <w:b/>
      <w:bCs/>
      <w:sz w:val="23"/>
      <w:szCs w:val="23"/>
      <w:lang w:val="en-US" w:eastAsia="en-US" w:bidi="en-US"/>
    </w:rPr>
  </w:style>
  <w:style w:styleId="ListParagraph" w:type="paragraph">
    <w:name w:val="List Paragraph"/>
    <w:basedOn w:val="Normal"/>
    <w:uiPriority w:val="1"/>
    <w:qFormat/>
    <w:pPr>
      <w:spacing w:before="92"/>
      <w:ind w:left="904" w:hanging="60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legislation.govt.nz/pdflink.aspx?id=DLM241261" TargetMode="External"/><Relationship Id="rId10" Type="http://schemas.openxmlformats.org/officeDocument/2006/relationships/hyperlink" Target="http://legislation.govt.nz/pdflink.aspx?id=DLM2421551" TargetMode="External"/><Relationship Id="rId11" Type="http://schemas.openxmlformats.org/officeDocument/2006/relationships/hyperlink" Target="http://legislation.govt.nz/pdflink.aspx?id=DLM233372" TargetMode="External"/><Relationship Id="rId12" Type="http://schemas.openxmlformats.org/officeDocument/2006/relationships/hyperlink" Target="http://legislation.govt.nz/pdflink.aspx?id=DLM2421544" TargetMode="External"/><Relationship Id="rId13" Type="http://schemas.openxmlformats.org/officeDocument/2006/relationships/hyperlink" Target="http://legislation.govt.nz/pdflink.aspx?id=DLM237795" TargetMode="External"/><Relationship Id="rId14" Type="http://schemas.openxmlformats.org/officeDocument/2006/relationships/hyperlink" Target="http://legislation.govt.nz/pdflink.aspx?id=DLM237755" TargetMode="External"/><Relationship Id="rId15" Type="http://schemas.openxmlformats.org/officeDocument/2006/relationships/hyperlink" Target="http://legislation.govt.nz/pdflink.aspx?id=LMS379730"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Parliamentary Counsel Office</dc:creator>
  <dcterms:created xsi:type="dcterms:W3CDTF">2020-10-15T18:05:35Z</dcterms:created>
  <dcterms:modified xsi:type="dcterms:W3CDTF">2020-10-15T18:05:35Z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AH Formatter V6.2 MR10 for Windows (x64) : 6.2.12.21390 (2015/07/21 09:32JST)</vt:lpwstr>
  </property>
  <property fmtid="{D5CDD505-2E9C-101B-9397-08002B2CF9AE}" pid="4" name="LastSaved">
    <vt:filetime>2020-10-15T00:00:00Z</vt:filetime>
  </property>
</Properties>
</file>